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19" w:rsidRDefault="00135419" w:rsidP="00135419">
      <w:pPr>
        <w:jc w:val="center"/>
        <w:rPr>
          <w:b/>
          <w:sz w:val="28"/>
          <w:szCs w:val="28"/>
          <w:u w:val="single"/>
        </w:rPr>
      </w:pPr>
      <w:r>
        <w:rPr>
          <w:b/>
          <w:sz w:val="28"/>
          <w:szCs w:val="28"/>
          <w:u w:val="single"/>
        </w:rPr>
        <w:t>PIA 2501</w:t>
      </w:r>
    </w:p>
    <w:p w:rsidR="00135419" w:rsidRDefault="00135419" w:rsidP="00135419">
      <w:pPr>
        <w:jc w:val="center"/>
        <w:rPr>
          <w:b/>
          <w:sz w:val="28"/>
          <w:szCs w:val="28"/>
          <w:u w:val="single"/>
        </w:rPr>
      </w:pPr>
    </w:p>
    <w:p w:rsidR="00135419" w:rsidRDefault="00135419" w:rsidP="00135419">
      <w:pPr>
        <w:jc w:val="center"/>
        <w:rPr>
          <w:b/>
          <w:sz w:val="28"/>
          <w:szCs w:val="28"/>
          <w:u w:val="single"/>
        </w:rPr>
      </w:pPr>
      <w:r>
        <w:rPr>
          <w:b/>
          <w:sz w:val="28"/>
          <w:szCs w:val="28"/>
          <w:u w:val="single"/>
        </w:rPr>
        <w:t>Development Policy and Management</w:t>
      </w:r>
    </w:p>
    <w:p w:rsidR="00135419" w:rsidRDefault="00135419" w:rsidP="00135419">
      <w:pPr>
        <w:jc w:val="center"/>
        <w:rPr>
          <w:b/>
          <w:sz w:val="28"/>
          <w:szCs w:val="28"/>
          <w:u w:val="single"/>
        </w:rPr>
      </w:pPr>
    </w:p>
    <w:p w:rsidR="00135419" w:rsidRDefault="00135419" w:rsidP="00135419">
      <w:pPr>
        <w:jc w:val="center"/>
        <w:rPr>
          <w:b/>
          <w:sz w:val="28"/>
          <w:szCs w:val="28"/>
        </w:rPr>
      </w:pPr>
      <w:smartTag w:uri="urn:schemas-microsoft-com:office:smarttags" w:element="place">
        <w:r>
          <w:rPr>
            <w:b/>
            <w:sz w:val="28"/>
            <w:szCs w:val="28"/>
            <w:u w:val="single"/>
          </w:rPr>
          <w:t>South America</w:t>
        </w:r>
      </w:smartTag>
    </w:p>
    <w:p w:rsidR="00135419" w:rsidRDefault="00135419" w:rsidP="00135419">
      <w:pPr>
        <w:rPr>
          <w:b/>
          <w:sz w:val="28"/>
          <w:szCs w:val="28"/>
        </w:rPr>
      </w:pPr>
    </w:p>
    <w:p w:rsidR="00135419" w:rsidRDefault="00135419" w:rsidP="00135419">
      <w:pPr>
        <w:rPr>
          <w:b/>
          <w:sz w:val="28"/>
          <w:szCs w:val="28"/>
        </w:rPr>
      </w:pPr>
    </w:p>
    <w:p w:rsidR="00FF6152" w:rsidRDefault="00FF6152" w:rsidP="00FF6152">
      <w:pPr>
        <w:jc w:val="both"/>
        <w:rPr>
          <w:b/>
          <w:sz w:val="28"/>
          <w:szCs w:val="28"/>
        </w:rPr>
      </w:pPr>
      <w:r>
        <w:rPr>
          <w:b/>
          <w:sz w:val="28"/>
          <w:szCs w:val="28"/>
        </w:rPr>
        <w:t xml:space="preserve">Area studies work reflects </w:t>
      </w:r>
      <w:r w:rsidR="00BA5CD3">
        <w:rPr>
          <w:rFonts w:hint="eastAsia"/>
          <w:b/>
          <w:sz w:val="28"/>
          <w:szCs w:val="28"/>
          <w:lang w:eastAsia="ko-KR"/>
        </w:rPr>
        <w:t>4</w:t>
      </w:r>
      <w:r>
        <w:rPr>
          <w:b/>
          <w:sz w:val="28"/>
          <w:szCs w:val="28"/>
        </w:rPr>
        <w:t>0% of Grade for each assignment.  This work is reflected in an oral report and the group paper which is to be turned in at the end of the semester. Half of the area studies grade will be on the presentation and half will focus on the written paper.</w:t>
      </w:r>
    </w:p>
    <w:p w:rsidR="00FF6152" w:rsidRDefault="00FF6152" w:rsidP="00FF6152">
      <w:pPr>
        <w:jc w:val="both"/>
        <w:rPr>
          <w:b/>
          <w:sz w:val="28"/>
          <w:szCs w:val="28"/>
        </w:rPr>
      </w:pPr>
    </w:p>
    <w:p w:rsidR="00FF6152" w:rsidRDefault="00FF6152" w:rsidP="00FF6152">
      <w:pPr>
        <w:jc w:val="both"/>
        <w:rPr>
          <w:b/>
          <w:sz w:val="28"/>
          <w:szCs w:val="28"/>
        </w:rPr>
      </w:pPr>
      <w:r>
        <w:rPr>
          <w:b/>
          <w:sz w:val="28"/>
          <w:szCs w:val="28"/>
        </w:rPr>
        <w:t xml:space="preserve">The area presentations will focus on the pool of readings presented below. Each presentation will focus on the status of "Development Management" in your region, </w:t>
      </w:r>
      <w:r>
        <w:rPr>
          <w:b/>
          <w:sz w:val="28"/>
          <w:szCs w:val="28"/>
          <w:u w:val="single"/>
        </w:rPr>
        <w:t>from a historical and a cultural perspective</w:t>
      </w:r>
      <w:r>
        <w:rPr>
          <w:b/>
          <w:sz w:val="28"/>
          <w:szCs w:val="28"/>
        </w:rPr>
        <w:t xml:space="preserve">, and be based on selected "common" readings from the syllabus and how they relate to the chosen geographical readings listed below. </w:t>
      </w:r>
    </w:p>
    <w:p w:rsidR="00FF6152" w:rsidRDefault="00FF6152" w:rsidP="00FF6152">
      <w:pPr>
        <w:jc w:val="both"/>
        <w:rPr>
          <w:b/>
          <w:sz w:val="28"/>
          <w:szCs w:val="28"/>
        </w:rPr>
      </w:pPr>
    </w:p>
    <w:p w:rsidR="00FF6152" w:rsidRDefault="00FF6152" w:rsidP="00FF6152">
      <w:pPr>
        <w:jc w:val="both"/>
        <w:rPr>
          <w:b/>
          <w:sz w:val="28"/>
          <w:szCs w:val="28"/>
        </w:rPr>
      </w:pPr>
      <w:r>
        <w:rPr>
          <w:b/>
          <w:sz w:val="28"/>
          <w:szCs w:val="28"/>
        </w:rPr>
        <w:t xml:space="preserve">Each regional group is to prepare a lively, literate presentation on the area readings assigned to you below that you will share with your colleagues. It should be noted that readings on each group’s geographical area that appear in the general readings are also the responsibility of the group to cover. Please note: </w:t>
      </w:r>
      <w:r>
        <w:rPr>
          <w:b/>
          <w:sz w:val="28"/>
          <w:szCs w:val="28"/>
          <w:u w:val="single"/>
        </w:rPr>
        <w:t>DO NOT SUMMARIZE EACH AUTHOR IN YOUR PRESENTATION.</w:t>
      </w:r>
      <w:r>
        <w:rPr>
          <w:b/>
          <w:sz w:val="28"/>
          <w:szCs w:val="28"/>
        </w:rPr>
        <w:t xml:space="preserve"> You will be down graded if you do this.  Each group will be limited to 25 minutes for their presentations.  The time limitations will be strictly enforced. </w:t>
      </w:r>
    </w:p>
    <w:p w:rsidR="00FF6152" w:rsidRDefault="00FF6152" w:rsidP="00FF6152">
      <w:pPr>
        <w:ind w:left="1440"/>
        <w:jc w:val="both"/>
        <w:rPr>
          <w:b/>
          <w:sz w:val="28"/>
          <w:szCs w:val="28"/>
        </w:rPr>
      </w:pPr>
    </w:p>
    <w:p w:rsidR="00FF6152" w:rsidRDefault="00FF6152" w:rsidP="00FF6152">
      <w:pPr>
        <w:jc w:val="both"/>
        <w:rPr>
          <w:b/>
          <w:sz w:val="28"/>
          <w:szCs w:val="28"/>
        </w:rPr>
      </w:pPr>
      <w:r>
        <w:rPr>
          <w:b/>
          <w:sz w:val="28"/>
          <w:szCs w:val="28"/>
        </w:rPr>
        <w:t>The “group” area paper (20-25 pages) will be derived out of the oral presentation and as is the case with the oral presentation should focus on the status of “Development Management” in the group’s geographical region.  The paper should be based on selected readings listed in the syllabus and those suggested below.</w:t>
      </w:r>
      <w:r w:rsidRPr="00003ABC">
        <w:rPr>
          <w:b/>
          <w:sz w:val="28"/>
          <w:szCs w:val="28"/>
        </w:rPr>
        <w:t xml:space="preserve"> </w:t>
      </w:r>
      <w:r>
        <w:rPr>
          <w:b/>
          <w:sz w:val="28"/>
          <w:szCs w:val="28"/>
        </w:rPr>
        <w:t xml:space="preserve">At a minimum the report should cover the bulk of the readings listed below though groups can of course, </w:t>
      </w:r>
      <w:r>
        <w:rPr>
          <w:b/>
          <w:sz w:val="28"/>
          <w:szCs w:val="28"/>
          <w:u w:val="single"/>
        </w:rPr>
        <w:t>but are not required</w:t>
      </w:r>
      <w:r>
        <w:rPr>
          <w:b/>
          <w:sz w:val="28"/>
          <w:szCs w:val="28"/>
        </w:rPr>
        <w:t xml:space="preserve"> </w:t>
      </w:r>
      <w:r w:rsidRPr="00003ABC">
        <w:rPr>
          <w:b/>
          <w:sz w:val="28"/>
          <w:szCs w:val="28"/>
          <w:u w:val="single"/>
        </w:rPr>
        <w:t>to</w:t>
      </w:r>
      <w:r>
        <w:rPr>
          <w:b/>
          <w:sz w:val="28"/>
          <w:szCs w:val="28"/>
        </w:rPr>
        <w:t>, read additional material, particularly on countries not covered in the reading below. The group paper is to be turned into the instructor at the end of the semester. For both oral and written presentations, appropriate, creative and interesting audio-visual tools may be used.</w:t>
      </w:r>
    </w:p>
    <w:p w:rsidR="00FF6152" w:rsidRDefault="00FF6152" w:rsidP="00FF6152">
      <w:pPr>
        <w:jc w:val="both"/>
        <w:rPr>
          <w:b/>
          <w:sz w:val="28"/>
          <w:szCs w:val="28"/>
        </w:rPr>
      </w:pPr>
    </w:p>
    <w:p w:rsidR="00135419" w:rsidRDefault="00135419" w:rsidP="00135419">
      <w:pPr>
        <w:jc w:val="center"/>
        <w:rPr>
          <w:b/>
          <w:sz w:val="28"/>
          <w:szCs w:val="28"/>
          <w:u w:val="single"/>
        </w:rPr>
      </w:pPr>
      <w:r w:rsidRPr="00003ABC">
        <w:rPr>
          <w:b/>
          <w:sz w:val="28"/>
          <w:szCs w:val="28"/>
          <w:u w:val="single"/>
        </w:rPr>
        <w:t xml:space="preserve">Suggested </w:t>
      </w:r>
      <w:smartTag w:uri="urn:schemas-microsoft-com:office:smarttags" w:element="City">
        <w:smartTag w:uri="urn:schemas-microsoft-com:office:smarttags" w:element="place">
          <w:r w:rsidRPr="00003ABC">
            <w:rPr>
              <w:b/>
              <w:sz w:val="28"/>
              <w:szCs w:val="28"/>
              <w:u w:val="single"/>
            </w:rPr>
            <w:t>Readings</w:t>
          </w:r>
        </w:smartTag>
      </w:smartTag>
    </w:p>
    <w:p w:rsidR="007D73A6" w:rsidRDefault="007D73A6" w:rsidP="00135419">
      <w:pPr>
        <w:rPr>
          <w:b/>
          <w:sz w:val="28"/>
          <w:szCs w:val="28"/>
        </w:rPr>
      </w:pPr>
    </w:p>
    <w:p w:rsidR="00F75554" w:rsidRDefault="00F75554" w:rsidP="00827A80">
      <w:pPr>
        <w:jc w:val="both"/>
        <w:rPr>
          <w:b/>
          <w:sz w:val="28"/>
          <w:szCs w:val="28"/>
          <w:u w:val="single"/>
        </w:rPr>
      </w:pPr>
      <w:r>
        <w:rPr>
          <w:b/>
          <w:sz w:val="28"/>
          <w:szCs w:val="28"/>
        </w:rPr>
        <w:t xml:space="preserve">Isabel </w:t>
      </w:r>
      <w:proofErr w:type="spellStart"/>
      <w:r>
        <w:rPr>
          <w:b/>
          <w:sz w:val="28"/>
          <w:szCs w:val="28"/>
        </w:rPr>
        <w:t>Allende</w:t>
      </w:r>
      <w:proofErr w:type="spellEnd"/>
      <w:r>
        <w:rPr>
          <w:b/>
          <w:sz w:val="28"/>
          <w:szCs w:val="28"/>
        </w:rPr>
        <w:t>, “</w:t>
      </w:r>
      <w:proofErr w:type="spellStart"/>
      <w:r>
        <w:rPr>
          <w:b/>
          <w:sz w:val="28"/>
          <w:szCs w:val="28"/>
        </w:rPr>
        <w:t>Clarisa</w:t>
      </w:r>
      <w:proofErr w:type="spellEnd"/>
      <w:r>
        <w:rPr>
          <w:b/>
          <w:sz w:val="28"/>
          <w:szCs w:val="28"/>
        </w:rPr>
        <w:t xml:space="preserve">,” </w:t>
      </w:r>
      <w:proofErr w:type="gramStart"/>
      <w:r>
        <w:rPr>
          <w:b/>
          <w:sz w:val="28"/>
          <w:szCs w:val="28"/>
        </w:rPr>
        <w:t xml:space="preserve">in </w:t>
      </w:r>
      <w:r w:rsidRPr="000E4A10">
        <w:rPr>
          <w:b/>
          <w:sz w:val="28"/>
          <w:szCs w:val="28"/>
        </w:rPr>
        <w:t xml:space="preserve"> </w:t>
      </w:r>
      <w:r>
        <w:rPr>
          <w:b/>
          <w:sz w:val="28"/>
          <w:szCs w:val="28"/>
        </w:rPr>
        <w:t>Barbara</w:t>
      </w:r>
      <w:proofErr w:type="gramEnd"/>
      <w:r>
        <w:rPr>
          <w:b/>
          <w:sz w:val="28"/>
          <w:szCs w:val="28"/>
        </w:rPr>
        <w:t xml:space="preserve"> H. Solomon, ed. </w:t>
      </w:r>
      <w:r>
        <w:rPr>
          <w:b/>
          <w:sz w:val="28"/>
          <w:szCs w:val="28"/>
          <w:u w:val="single"/>
        </w:rPr>
        <w:t>Other Voices, Other Vistas</w:t>
      </w:r>
      <w:r>
        <w:rPr>
          <w:b/>
          <w:sz w:val="28"/>
          <w:szCs w:val="28"/>
        </w:rPr>
        <w:t xml:space="preserve"> (New York: Mentor, 1992), pp. 429-442.</w:t>
      </w:r>
    </w:p>
    <w:p w:rsidR="00F75554" w:rsidRDefault="00F75554" w:rsidP="00827A80">
      <w:pPr>
        <w:jc w:val="both"/>
        <w:rPr>
          <w:b/>
          <w:sz w:val="28"/>
          <w:szCs w:val="28"/>
        </w:rPr>
      </w:pPr>
    </w:p>
    <w:p w:rsidR="00F75554" w:rsidRDefault="00F75554" w:rsidP="00827A80">
      <w:pPr>
        <w:jc w:val="both"/>
        <w:rPr>
          <w:b/>
          <w:sz w:val="28"/>
          <w:szCs w:val="28"/>
        </w:rPr>
      </w:pPr>
      <w:r>
        <w:rPr>
          <w:b/>
          <w:sz w:val="28"/>
          <w:szCs w:val="28"/>
        </w:rPr>
        <w:t xml:space="preserve">Jorge Amado, "Domination," in Philip Green and Michael </w:t>
      </w:r>
      <w:proofErr w:type="spellStart"/>
      <w:r>
        <w:rPr>
          <w:b/>
          <w:sz w:val="28"/>
          <w:szCs w:val="28"/>
        </w:rPr>
        <w:t>Walzer</w:t>
      </w:r>
      <w:proofErr w:type="spellEnd"/>
      <w:r>
        <w:rPr>
          <w:b/>
          <w:sz w:val="28"/>
          <w:szCs w:val="28"/>
        </w:rPr>
        <w:t xml:space="preserve">, </w:t>
      </w:r>
      <w:proofErr w:type="gramStart"/>
      <w:r>
        <w:rPr>
          <w:b/>
          <w:sz w:val="28"/>
          <w:szCs w:val="28"/>
          <w:u w:val="single"/>
        </w:rPr>
        <w:t>The</w:t>
      </w:r>
      <w:proofErr w:type="gramEnd"/>
      <w:r>
        <w:rPr>
          <w:b/>
          <w:sz w:val="28"/>
          <w:szCs w:val="28"/>
          <w:u w:val="single"/>
        </w:rPr>
        <w:t xml:space="preserve"> Political Imagination in Literature</w:t>
      </w:r>
      <w:r>
        <w:rPr>
          <w:b/>
          <w:sz w:val="28"/>
          <w:szCs w:val="28"/>
        </w:rPr>
        <w:t xml:space="preserve"> (New York: The Free Press, 1969). Pp. 450-451</w:t>
      </w:r>
    </w:p>
    <w:p w:rsidR="00F75554" w:rsidRDefault="00F75554" w:rsidP="00827A80">
      <w:pPr>
        <w:jc w:val="both"/>
        <w:rPr>
          <w:b/>
          <w:sz w:val="28"/>
          <w:szCs w:val="28"/>
        </w:rPr>
      </w:pPr>
    </w:p>
    <w:p w:rsidR="00F75554" w:rsidRDefault="00F75554" w:rsidP="00827A80">
      <w:pPr>
        <w:jc w:val="both"/>
        <w:rPr>
          <w:b/>
          <w:sz w:val="28"/>
          <w:szCs w:val="28"/>
        </w:rPr>
      </w:pPr>
      <w:r>
        <w:rPr>
          <w:b/>
          <w:sz w:val="28"/>
          <w:szCs w:val="28"/>
        </w:rPr>
        <w:t xml:space="preserve">Joes L. </w:t>
      </w:r>
      <w:proofErr w:type="spellStart"/>
      <w:r>
        <w:rPr>
          <w:b/>
          <w:sz w:val="28"/>
          <w:szCs w:val="28"/>
        </w:rPr>
        <w:t>Curbelo</w:t>
      </w:r>
      <w:proofErr w:type="spellEnd"/>
      <w:r>
        <w:rPr>
          <w:b/>
          <w:sz w:val="28"/>
          <w:szCs w:val="28"/>
        </w:rPr>
        <w:t xml:space="preserve">, "Positive Adjustment in Latin America: On Decentralization and Development Planning," </w:t>
      </w:r>
      <w:r>
        <w:rPr>
          <w:b/>
          <w:sz w:val="28"/>
          <w:szCs w:val="28"/>
          <w:u w:val="single"/>
        </w:rPr>
        <w:t xml:space="preserve">European Review of Latin American and </w:t>
      </w:r>
      <w:smartTag w:uri="urn:schemas-microsoft-com:office:smarttags" w:element="place">
        <w:r>
          <w:rPr>
            <w:b/>
            <w:sz w:val="28"/>
            <w:szCs w:val="28"/>
            <w:u w:val="single"/>
          </w:rPr>
          <w:t>Caribbean</w:t>
        </w:r>
      </w:smartTag>
      <w:r>
        <w:rPr>
          <w:b/>
          <w:sz w:val="28"/>
          <w:szCs w:val="28"/>
          <w:u w:val="single"/>
        </w:rPr>
        <w:t xml:space="preserve"> Studies</w:t>
      </w:r>
      <w:r>
        <w:rPr>
          <w:b/>
          <w:sz w:val="28"/>
          <w:szCs w:val="28"/>
        </w:rPr>
        <w:t xml:space="preserve"> (June, 1993), pp. 25-44.</w:t>
      </w:r>
    </w:p>
    <w:p w:rsidR="00F75554" w:rsidRDefault="00F75554" w:rsidP="00827A80">
      <w:pPr>
        <w:jc w:val="both"/>
        <w:rPr>
          <w:b/>
          <w:sz w:val="28"/>
          <w:szCs w:val="28"/>
        </w:rPr>
      </w:pPr>
    </w:p>
    <w:p w:rsidR="00F75554" w:rsidRDefault="00F75554" w:rsidP="00827A80">
      <w:pPr>
        <w:jc w:val="both"/>
        <w:rPr>
          <w:b/>
          <w:sz w:val="28"/>
          <w:szCs w:val="28"/>
        </w:rPr>
      </w:pPr>
      <w:r>
        <w:rPr>
          <w:b/>
          <w:bCs/>
          <w:sz w:val="28"/>
        </w:rPr>
        <w:t xml:space="preserve">Arturo Escobar, </w:t>
      </w:r>
      <w:r>
        <w:rPr>
          <w:b/>
          <w:bCs/>
          <w:sz w:val="28"/>
          <w:u w:val="single"/>
        </w:rPr>
        <w:t xml:space="preserve">Encountering Development: The Making and Unmaking of the </w:t>
      </w:r>
      <w:smartTag w:uri="urn:schemas-microsoft-com:office:smarttags" w:element="place">
        <w:r>
          <w:rPr>
            <w:b/>
            <w:bCs/>
            <w:sz w:val="28"/>
            <w:u w:val="single"/>
          </w:rPr>
          <w:t xml:space="preserve">Third </w:t>
        </w:r>
        <w:proofErr w:type="gramStart"/>
        <w:r>
          <w:rPr>
            <w:b/>
            <w:bCs/>
            <w:sz w:val="28"/>
            <w:u w:val="single"/>
          </w:rPr>
          <w:t>World</w:t>
        </w:r>
      </w:smartTag>
      <w:r>
        <w:rPr>
          <w:b/>
          <w:bCs/>
          <w:sz w:val="28"/>
        </w:rPr>
        <w:t xml:space="preserve">  (</w:t>
      </w:r>
      <w:proofErr w:type="gramEnd"/>
      <w:r>
        <w:rPr>
          <w:b/>
          <w:bCs/>
          <w:sz w:val="28"/>
        </w:rPr>
        <w:t>Princeton: Princeton University Press, 1995),</w:t>
      </w:r>
      <w:r>
        <w:rPr>
          <w:b/>
          <w:sz w:val="28"/>
          <w:szCs w:val="28"/>
        </w:rPr>
        <w:t>, Chapter 4.</w:t>
      </w:r>
    </w:p>
    <w:p w:rsidR="00F75554" w:rsidRDefault="00F75554" w:rsidP="00827A80">
      <w:pPr>
        <w:jc w:val="both"/>
        <w:rPr>
          <w:b/>
          <w:sz w:val="28"/>
          <w:szCs w:val="28"/>
        </w:rPr>
      </w:pPr>
    </w:p>
    <w:p w:rsidR="00F75554" w:rsidRPr="002501F1" w:rsidRDefault="00F75554" w:rsidP="00827A80">
      <w:pPr>
        <w:jc w:val="both"/>
        <w:rPr>
          <w:b/>
          <w:sz w:val="28"/>
          <w:szCs w:val="28"/>
        </w:rPr>
      </w:pPr>
      <w:r w:rsidRPr="002501F1">
        <w:rPr>
          <w:b/>
          <w:sz w:val="28"/>
          <w:szCs w:val="28"/>
        </w:rPr>
        <w:t xml:space="preserve">Peter B. Evans, </w:t>
      </w:r>
      <w:r w:rsidRPr="002501F1">
        <w:rPr>
          <w:b/>
          <w:iCs/>
          <w:sz w:val="28"/>
          <w:szCs w:val="28"/>
          <w:u w:val="single"/>
        </w:rPr>
        <w:t xml:space="preserve">Dependent Development: The </w:t>
      </w:r>
      <w:smartTag w:uri="urn:schemas-microsoft-com:office:smarttags" w:element="City">
        <w:r w:rsidRPr="002501F1">
          <w:rPr>
            <w:b/>
            <w:iCs/>
            <w:sz w:val="28"/>
            <w:szCs w:val="28"/>
            <w:u w:val="single"/>
          </w:rPr>
          <w:t>Alliance</w:t>
        </w:r>
      </w:smartTag>
      <w:r w:rsidRPr="002501F1">
        <w:rPr>
          <w:b/>
          <w:iCs/>
          <w:sz w:val="28"/>
          <w:szCs w:val="28"/>
          <w:u w:val="single"/>
        </w:rPr>
        <w:t xml:space="preserve"> of Multinational, State, and Local Capital in </w:t>
      </w:r>
      <w:smartTag w:uri="urn:schemas-microsoft-com:office:smarttags" w:element="place">
        <w:smartTag w:uri="urn:schemas-microsoft-com:office:smarttags" w:element="country-region">
          <w:r w:rsidRPr="002501F1">
            <w:rPr>
              <w:b/>
              <w:iCs/>
              <w:sz w:val="28"/>
              <w:szCs w:val="28"/>
              <w:u w:val="single"/>
            </w:rPr>
            <w:t>Brazil</w:t>
          </w:r>
        </w:smartTag>
      </w:smartTag>
      <w:r>
        <w:rPr>
          <w:b/>
          <w:sz w:val="28"/>
          <w:szCs w:val="28"/>
        </w:rPr>
        <w:t xml:space="preserve"> </w:t>
      </w:r>
      <w:r w:rsidRPr="002501F1">
        <w:rPr>
          <w:b/>
          <w:sz w:val="28"/>
          <w:szCs w:val="28"/>
        </w:rPr>
        <w:t>(Princeton, NJ: Princeton University Press, 1979), Chapters 1-2</w:t>
      </w:r>
    </w:p>
    <w:p w:rsidR="00F75554" w:rsidRDefault="00F75554" w:rsidP="00827A80">
      <w:pPr>
        <w:jc w:val="both"/>
        <w:rPr>
          <w:b/>
          <w:sz w:val="28"/>
          <w:szCs w:val="28"/>
        </w:rPr>
      </w:pPr>
    </w:p>
    <w:p w:rsidR="00F75554" w:rsidRDefault="00F75554" w:rsidP="00827A80">
      <w:pPr>
        <w:jc w:val="both"/>
        <w:rPr>
          <w:b/>
          <w:sz w:val="28"/>
          <w:szCs w:val="28"/>
        </w:rPr>
      </w:pPr>
      <w:r>
        <w:rPr>
          <w:b/>
          <w:sz w:val="28"/>
          <w:szCs w:val="28"/>
        </w:rPr>
        <w:t xml:space="preserve">Thomas L. Friedman, </w:t>
      </w:r>
      <w:proofErr w:type="gramStart"/>
      <w:r w:rsidRPr="00922D9D">
        <w:rPr>
          <w:b/>
          <w:bCs/>
          <w:iCs/>
          <w:sz w:val="28"/>
          <w:szCs w:val="28"/>
          <w:u w:val="single"/>
        </w:rPr>
        <w:t>The</w:t>
      </w:r>
      <w:proofErr w:type="gramEnd"/>
      <w:r w:rsidRPr="00922D9D">
        <w:rPr>
          <w:b/>
          <w:bCs/>
          <w:iCs/>
          <w:sz w:val="28"/>
          <w:szCs w:val="28"/>
          <w:u w:val="single"/>
        </w:rPr>
        <w:t xml:space="preserve"> World Is Flat: A Brief History of the Twenty-First Century</w:t>
      </w:r>
      <w:r>
        <w:rPr>
          <w:b/>
          <w:sz w:val="28"/>
          <w:szCs w:val="28"/>
        </w:rPr>
        <w:t xml:space="preserve">, </w:t>
      </w:r>
      <w:r w:rsidRPr="00922D9D">
        <w:rPr>
          <w:b/>
          <w:sz w:val="28"/>
          <w:szCs w:val="28"/>
        </w:rPr>
        <w:t>(</w:t>
      </w:r>
      <w:hyperlink r:id="rId7" w:tooltip="Publisher" w:history="1"/>
      <w:hyperlink r:id="rId8" w:tooltip="Farrar, Straus and Giroux" w:history="1">
        <w:r w:rsidRPr="00922D9D">
          <w:rPr>
            <w:rStyle w:val="Hyperlink"/>
            <w:b/>
            <w:color w:val="auto"/>
            <w:sz w:val="28"/>
            <w:szCs w:val="28"/>
            <w:u w:val="none"/>
          </w:rPr>
          <w:t>Farrar, Straus and Giroux</w:t>
        </w:r>
      </w:hyperlink>
      <w:r w:rsidRPr="005B0E28">
        <w:rPr>
          <w:b/>
          <w:sz w:val="28"/>
          <w:szCs w:val="28"/>
        </w:rPr>
        <w:t>, 2005)</w:t>
      </w:r>
      <w:r>
        <w:rPr>
          <w:b/>
          <w:sz w:val="28"/>
          <w:szCs w:val="28"/>
        </w:rPr>
        <w:t xml:space="preserve"> </w:t>
      </w:r>
      <w:r w:rsidRPr="00135419">
        <w:rPr>
          <w:b/>
          <w:sz w:val="28"/>
          <w:szCs w:val="28"/>
        </w:rPr>
        <w:t>Chapter</w:t>
      </w:r>
      <w:r>
        <w:rPr>
          <w:b/>
          <w:sz w:val="28"/>
          <w:szCs w:val="28"/>
        </w:rPr>
        <w:t xml:space="preserve"> 9.</w:t>
      </w:r>
    </w:p>
    <w:p w:rsidR="00F75554" w:rsidRDefault="00F75554" w:rsidP="00827A80">
      <w:pPr>
        <w:jc w:val="both"/>
        <w:rPr>
          <w:b/>
          <w:sz w:val="28"/>
          <w:szCs w:val="28"/>
        </w:rPr>
      </w:pPr>
    </w:p>
    <w:p w:rsidR="00F75554" w:rsidRDefault="00F75554" w:rsidP="00827A80">
      <w:pPr>
        <w:jc w:val="both"/>
        <w:rPr>
          <w:b/>
          <w:sz w:val="28"/>
          <w:szCs w:val="28"/>
        </w:rPr>
      </w:pPr>
      <w:r>
        <w:rPr>
          <w:b/>
          <w:sz w:val="28"/>
          <w:szCs w:val="28"/>
        </w:rPr>
        <w:t xml:space="preserve">Carlos Fuentes, </w:t>
      </w:r>
      <w:r w:rsidRPr="00135419">
        <w:rPr>
          <w:b/>
          <w:sz w:val="28"/>
          <w:szCs w:val="28"/>
        </w:rPr>
        <w:t xml:space="preserve">“The Cost of Living,” </w:t>
      </w:r>
      <w:r>
        <w:rPr>
          <w:b/>
          <w:sz w:val="28"/>
          <w:szCs w:val="28"/>
        </w:rPr>
        <w:t xml:space="preserve">in Barbara H. Solomon, </w:t>
      </w:r>
      <w:proofErr w:type="gramStart"/>
      <w:r>
        <w:rPr>
          <w:b/>
          <w:sz w:val="28"/>
          <w:szCs w:val="28"/>
        </w:rPr>
        <w:t>ed</w:t>
      </w:r>
      <w:proofErr w:type="gramEnd"/>
      <w:r>
        <w:rPr>
          <w:b/>
          <w:sz w:val="28"/>
          <w:szCs w:val="28"/>
        </w:rPr>
        <w:t xml:space="preserve">. </w:t>
      </w:r>
      <w:r>
        <w:rPr>
          <w:b/>
          <w:sz w:val="28"/>
          <w:szCs w:val="28"/>
          <w:u w:val="single"/>
        </w:rPr>
        <w:t>Other Voices, Other Vistas</w:t>
      </w:r>
      <w:r>
        <w:rPr>
          <w:b/>
          <w:sz w:val="28"/>
          <w:szCs w:val="28"/>
        </w:rPr>
        <w:t xml:space="preserve"> (New York: Mentor, 1992), pp. 450-461.</w:t>
      </w:r>
    </w:p>
    <w:p w:rsidR="00F75554" w:rsidRDefault="00F75554" w:rsidP="00827A80">
      <w:pPr>
        <w:jc w:val="both"/>
        <w:rPr>
          <w:b/>
          <w:sz w:val="28"/>
          <w:szCs w:val="28"/>
        </w:rPr>
      </w:pPr>
    </w:p>
    <w:p w:rsidR="00827A80" w:rsidRPr="00F75554" w:rsidRDefault="00827A80" w:rsidP="00827A80">
      <w:pPr>
        <w:jc w:val="both"/>
        <w:rPr>
          <w:b/>
          <w:sz w:val="28"/>
          <w:szCs w:val="28"/>
          <w:u w:val="single"/>
        </w:rPr>
      </w:pPr>
      <w:proofErr w:type="spellStart"/>
      <w:r w:rsidRPr="00F75554">
        <w:rPr>
          <w:rStyle w:val="ln2"/>
          <w:b/>
          <w:sz w:val="28"/>
          <w:szCs w:val="28"/>
        </w:rPr>
        <w:t>Craufurd</w:t>
      </w:r>
      <w:proofErr w:type="spellEnd"/>
      <w:r w:rsidRPr="00F75554">
        <w:rPr>
          <w:rStyle w:val="ln2"/>
          <w:b/>
          <w:sz w:val="28"/>
          <w:szCs w:val="28"/>
        </w:rPr>
        <w:t xml:space="preserve"> D. W.</w:t>
      </w:r>
      <w:r>
        <w:rPr>
          <w:rStyle w:val="ln2"/>
          <w:sz w:val="20"/>
          <w:szCs w:val="20"/>
        </w:rPr>
        <w:t xml:space="preserve"> </w:t>
      </w:r>
      <w:r>
        <w:rPr>
          <w:b/>
          <w:sz w:val="28"/>
          <w:szCs w:val="28"/>
        </w:rPr>
        <w:t xml:space="preserve">Goodwin and Michael </w:t>
      </w:r>
      <w:proofErr w:type="spellStart"/>
      <w:r>
        <w:rPr>
          <w:b/>
          <w:sz w:val="28"/>
          <w:szCs w:val="28"/>
        </w:rPr>
        <w:t>Nacht</w:t>
      </w:r>
      <w:proofErr w:type="spellEnd"/>
      <w:r>
        <w:rPr>
          <w:b/>
          <w:sz w:val="28"/>
          <w:szCs w:val="28"/>
        </w:rPr>
        <w:t xml:space="preserve">, </w:t>
      </w:r>
      <w:r w:rsidRPr="00F75554">
        <w:rPr>
          <w:b/>
          <w:sz w:val="28"/>
          <w:szCs w:val="28"/>
          <w:u w:val="single"/>
        </w:rPr>
        <w:t xml:space="preserve">Beyond Government: Extending the Public Policy Debate in Emerging </w:t>
      </w:r>
      <w:proofErr w:type="gramStart"/>
      <w:r w:rsidRPr="00F75554">
        <w:rPr>
          <w:b/>
          <w:sz w:val="28"/>
          <w:szCs w:val="28"/>
          <w:u w:val="single"/>
        </w:rPr>
        <w:t>Democracies</w:t>
      </w:r>
      <w:r>
        <w:rPr>
          <w:b/>
          <w:sz w:val="28"/>
          <w:szCs w:val="28"/>
          <w:u w:val="single"/>
        </w:rPr>
        <w:t xml:space="preserve">  </w:t>
      </w:r>
      <w:r>
        <w:rPr>
          <w:b/>
          <w:sz w:val="28"/>
          <w:szCs w:val="28"/>
        </w:rPr>
        <w:t>(</w:t>
      </w:r>
      <w:proofErr w:type="gramEnd"/>
      <w:r>
        <w:rPr>
          <w:b/>
          <w:sz w:val="28"/>
          <w:szCs w:val="28"/>
        </w:rPr>
        <w:t>Boulder, CO:</w:t>
      </w:r>
      <w:r w:rsidRPr="00827A80">
        <w:rPr>
          <w:b/>
          <w:sz w:val="28"/>
          <w:szCs w:val="28"/>
        </w:rPr>
        <w:t xml:space="preserve"> </w:t>
      </w:r>
      <w:proofErr w:type="spellStart"/>
      <w:r w:rsidRPr="00827A80">
        <w:rPr>
          <w:b/>
          <w:sz w:val="28"/>
          <w:szCs w:val="28"/>
        </w:rPr>
        <w:t>Westview</w:t>
      </w:r>
      <w:proofErr w:type="spellEnd"/>
      <w:r w:rsidRPr="00827A80">
        <w:rPr>
          <w:b/>
          <w:sz w:val="28"/>
          <w:szCs w:val="28"/>
        </w:rPr>
        <w:t xml:space="preserve"> Press, 1995),</w:t>
      </w:r>
      <w:r>
        <w:rPr>
          <w:b/>
          <w:sz w:val="28"/>
          <w:szCs w:val="28"/>
        </w:rPr>
        <w:t xml:space="preserve"> Chapters 4, 5 and 11.</w:t>
      </w:r>
    </w:p>
    <w:p w:rsidR="00827A80" w:rsidRDefault="00827A80" w:rsidP="00827A80">
      <w:pPr>
        <w:jc w:val="both"/>
        <w:rPr>
          <w:b/>
          <w:sz w:val="28"/>
          <w:szCs w:val="28"/>
        </w:rPr>
      </w:pPr>
    </w:p>
    <w:p w:rsidR="002C3F48" w:rsidRDefault="002C3F48" w:rsidP="00827A80">
      <w:pPr>
        <w:jc w:val="both"/>
        <w:rPr>
          <w:b/>
          <w:sz w:val="28"/>
          <w:szCs w:val="28"/>
        </w:rPr>
      </w:pPr>
      <w:smartTag w:uri="urn:schemas-microsoft-com:office:smarttags" w:element="City">
        <w:r w:rsidRPr="00FF6152">
          <w:rPr>
            <w:b/>
            <w:sz w:val="28"/>
            <w:szCs w:val="28"/>
          </w:rPr>
          <w:t>Lawrence</w:t>
        </w:r>
      </w:smartTag>
      <w:r w:rsidRPr="00FF6152">
        <w:rPr>
          <w:b/>
          <w:sz w:val="28"/>
          <w:szCs w:val="28"/>
        </w:rPr>
        <w:t xml:space="preserve"> E. Harrison and Samuel P. Huntington, </w:t>
      </w:r>
      <w:r w:rsidRPr="00FF6152">
        <w:rPr>
          <w:b/>
          <w:sz w:val="28"/>
          <w:szCs w:val="28"/>
          <w:u w:val="single"/>
        </w:rPr>
        <w:t>Culture Matters: How Values Shape Human Progress</w:t>
      </w:r>
      <w:r w:rsidRPr="00FF6152">
        <w:rPr>
          <w:b/>
          <w:sz w:val="28"/>
          <w:szCs w:val="28"/>
        </w:rPr>
        <w:t xml:space="preserve"> (</w:t>
      </w:r>
      <w:smartTag w:uri="urn:schemas-microsoft-com:office:smarttags" w:element="place">
        <w:smartTag w:uri="urn:schemas-microsoft-com:office:smarttags" w:element="State">
          <w:r w:rsidRPr="00FF6152">
            <w:rPr>
              <w:b/>
              <w:sz w:val="28"/>
              <w:szCs w:val="28"/>
            </w:rPr>
            <w:t>New York</w:t>
          </w:r>
        </w:smartTag>
      </w:smartTag>
      <w:r w:rsidRPr="00FF6152">
        <w:rPr>
          <w:b/>
          <w:sz w:val="28"/>
          <w:szCs w:val="28"/>
        </w:rPr>
        <w:t>: Basic Books, 2000),</w:t>
      </w:r>
      <w:r>
        <w:rPr>
          <w:b/>
          <w:sz w:val="28"/>
          <w:szCs w:val="28"/>
        </w:rPr>
        <w:t xml:space="preserve"> Chapters 5 and 14.</w:t>
      </w:r>
    </w:p>
    <w:p w:rsidR="002C3F48" w:rsidRDefault="002C3F48" w:rsidP="00827A80">
      <w:pPr>
        <w:jc w:val="both"/>
        <w:rPr>
          <w:b/>
          <w:sz w:val="28"/>
          <w:szCs w:val="28"/>
        </w:rPr>
      </w:pPr>
    </w:p>
    <w:p w:rsidR="00FF6152" w:rsidRDefault="00FF6152" w:rsidP="00827A80">
      <w:pPr>
        <w:jc w:val="both"/>
        <w:rPr>
          <w:b/>
          <w:sz w:val="28"/>
          <w:szCs w:val="28"/>
        </w:rPr>
      </w:pPr>
      <w:r>
        <w:rPr>
          <w:b/>
          <w:sz w:val="28"/>
          <w:szCs w:val="28"/>
        </w:rPr>
        <w:t xml:space="preserve">Paul Harrison, </w:t>
      </w:r>
      <w:r>
        <w:rPr>
          <w:b/>
          <w:sz w:val="28"/>
          <w:szCs w:val="28"/>
          <w:u w:val="single"/>
        </w:rPr>
        <w:t xml:space="preserve">Inside the </w:t>
      </w:r>
      <w:smartTag w:uri="urn:schemas-microsoft-com:office:smarttags" w:element="place">
        <w:r>
          <w:rPr>
            <w:b/>
            <w:sz w:val="28"/>
            <w:szCs w:val="28"/>
            <w:u w:val="single"/>
          </w:rPr>
          <w:t>Third World</w:t>
        </w:r>
      </w:smartTag>
      <w:r>
        <w:rPr>
          <w:b/>
          <w:sz w:val="28"/>
          <w:szCs w:val="28"/>
          <w:u w:val="single"/>
        </w:rPr>
        <w:t>: The Anatomy of Poverty</w:t>
      </w:r>
      <w:r>
        <w:rPr>
          <w:b/>
          <w:sz w:val="28"/>
          <w:szCs w:val="28"/>
        </w:rPr>
        <w:t xml:space="preserve"> (</w:t>
      </w:r>
      <w:proofErr w:type="spellStart"/>
      <w:r>
        <w:rPr>
          <w:b/>
          <w:sz w:val="28"/>
          <w:szCs w:val="28"/>
        </w:rPr>
        <w:t>Harmondsworth</w:t>
      </w:r>
      <w:proofErr w:type="spellEnd"/>
      <w:r>
        <w:rPr>
          <w:b/>
          <w:sz w:val="28"/>
          <w:szCs w:val="28"/>
        </w:rPr>
        <w:t>: Penguin, 1993), pp. 105-127</w:t>
      </w:r>
    </w:p>
    <w:p w:rsidR="002C3F48" w:rsidRDefault="002C3F48" w:rsidP="00827A80">
      <w:pPr>
        <w:jc w:val="both"/>
        <w:rPr>
          <w:b/>
          <w:sz w:val="28"/>
          <w:szCs w:val="28"/>
        </w:rPr>
      </w:pPr>
    </w:p>
    <w:p w:rsidR="002501F1" w:rsidRDefault="002501F1" w:rsidP="00827A80">
      <w:pPr>
        <w:jc w:val="both"/>
        <w:rPr>
          <w:b/>
          <w:sz w:val="28"/>
          <w:szCs w:val="28"/>
        </w:rPr>
      </w:pPr>
      <w:r>
        <w:rPr>
          <w:b/>
          <w:sz w:val="28"/>
          <w:szCs w:val="28"/>
        </w:rPr>
        <w:lastRenderedPageBreak/>
        <w:t xml:space="preserve">Peter F. F. </w:t>
      </w:r>
      <w:proofErr w:type="spellStart"/>
      <w:r>
        <w:rPr>
          <w:b/>
          <w:sz w:val="28"/>
          <w:szCs w:val="28"/>
        </w:rPr>
        <w:t>Klaren</w:t>
      </w:r>
      <w:proofErr w:type="spellEnd"/>
      <w:r>
        <w:rPr>
          <w:b/>
          <w:sz w:val="28"/>
          <w:szCs w:val="28"/>
        </w:rPr>
        <w:t xml:space="preserve"> and Thomas </w:t>
      </w:r>
      <w:proofErr w:type="spellStart"/>
      <w:r>
        <w:rPr>
          <w:b/>
          <w:sz w:val="28"/>
          <w:szCs w:val="28"/>
        </w:rPr>
        <w:t>Bossert</w:t>
      </w:r>
      <w:proofErr w:type="spellEnd"/>
      <w:r>
        <w:rPr>
          <w:b/>
          <w:sz w:val="28"/>
          <w:szCs w:val="28"/>
        </w:rPr>
        <w:t xml:space="preserve">, </w:t>
      </w:r>
      <w:r w:rsidRPr="00FF6152">
        <w:rPr>
          <w:b/>
          <w:sz w:val="28"/>
          <w:szCs w:val="28"/>
          <w:u w:val="single"/>
        </w:rPr>
        <w:t xml:space="preserve">The Promise of Development: Theories of Change in </w:t>
      </w:r>
      <w:smartTag w:uri="urn:schemas-microsoft-com:office:smarttags" w:element="place">
        <w:r w:rsidRPr="00FF6152">
          <w:rPr>
            <w:b/>
            <w:sz w:val="28"/>
            <w:szCs w:val="28"/>
            <w:u w:val="single"/>
          </w:rPr>
          <w:t xml:space="preserve">Latin </w:t>
        </w:r>
        <w:proofErr w:type="gramStart"/>
        <w:r w:rsidRPr="00FF6152">
          <w:rPr>
            <w:b/>
            <w:sz w:val="28"/>
            <w:szCs w:val="28"/>
            <w:u w:val="single"/>
          </w:rPr>
          <w:t>America</w:t>
        </w:r>
      </w:smartTag>
      <w:r>
        <w:rPr>
          <w:b/>
          <w:sz w:val="28"/>
          <w:szCs w:val="28"/>
        </w:rPr>
        <w:t xml:space="preserve">  (</w:t>
      </w:r>
      <w:proofErr w:type="gramEnd"/>
      <w:r>
        <w:rPr>
          <w:b/>
          <w:sz w:val="28"/>
          <w:szCs w:val="28"/>
        </w:rPr>
        <w:t xml:space="preserve">Boulder: </w:t>
      </w:r>
      <w:proofErr w:type="spellStart"/>
      <w:r>
        <w:rPr>
          <w:b/>
          <w:sz w:val="28"/>
          <w:szCs w:val="28"/>
        </w:rPr>
        <w:t>Westview</w:t>
      </w:r>
      <w:proofErr w:type="spellEnd"/>
      <w:r>
        <w:rPr>
          <w:b/>
          <w:sz w:val="28"/>
          <w:szCs w:val="28"/>
        </w:rPr>
        <w:t xml:space="preserve"> Publishers, 1986), Chapters 1, 3 and 6</w:t>
      </w:r>
    </w:p>
    <w:p w:rsidR="00FF6152" w:rsidRDefault="00FF6152" w:rsidP="00827A80">
      <w:pPr>
        <w:jc w:val="both"/>
        <w:rPr>
          <w:b/>
          <w:sz w:val="28"/>
          <w:szCs w:val="28"/>
        </w:rPr>
      </w:pPr>
    </w:p>
    <w:p w:rsidR="00F75554" w:rsidRDefault="00F75554" w:rsidP="00827A80">
      <w:pPr>
        <w:jc w:val="both"/>
        <w:rPr>
          <w:b/>
          <w:sz w:val="28"/>
          <w:szCs w:val="28"/>
        </w:rPr>
      </w:pPr>
      <w:r>
        <w:rPr>
          <w:b/>
          <w:sz w:val="28"/>
          <w:szCs w:val="28"/>
        </w:rPr>
        <w:t xml:space="preserve">Gabriel Garcia Marquez, “Death Constant Beyond Love,” in Barbara H. Solomon, ed. in </w:t>
      </w:r>
      <w:r>
        <w:rPr>
          <w:b/>
          <w:sz w:val="28"/>
          <w:szCs w:val="28"/>
          <w:u w:val="single"/>
        </w:rPr>
        <w:t>Other Voices, Other Vistas</w:t>
      </w:r>
      <w:r>
        <w:rPr>
          <w:b/>
          <w:sz w:val="28"/>
          <w:szCs w:val="28"/>
        </w:rPr>
        <w:t xml:space="preserve"> (New York: Mentor, 1992), pp. 462-471.</w:t>
      </w:r>
    </w:p>
    <w:p w:rsidR="00F75554" w:rsidRDefault="00F75554" w:rsidP="00827A80">
      <w:pPr>
        <w:jc w:val="both"/>
        <w:rPr>
          <w:b/>
          <w:sz w:val="28"/>
          <w:szCs w:val="28"/>
        </w:rPr>
      </w:pPr>
    </w:p>
    <w:p w:rsidR="002C3F48" w:rsidRDefault="002C3F48" w:rsidP="00827A80">
      <w:pPr>
        <w:jc w:val="both"/>
        <w:rPr>
          <w:b/>
          <w:sz w:val="28"/>
          <w:szCs w:val="28"/>
        </w:rPr>
      </w:pPr>
      <w:r>
        <w:rPr>
          <w:b/>
          <w:sz w:val="28"/>
          <w:szCs w:val="28"/>
        </w:rPr>
        <w:t>Nicola Miller</w:t>
      </w:r>
      <w:proofErr w:type="gramStart"/>
      <w:r>
        <w:rPr>
          <w:b/>
          <w:sz w:val="28"/>
          <w:szCs w:val="28"/>
        </w:rPr>
        <w:t xml:space="preserve">,  </w:t>
      </w:r>
      <w:r>
        <w:rPr>
          <w:b/>
          <w:sz w:val="28"/>
          <w:szCs w:val="28"/>
          <w:u w:val="single"/>
        </w:rPr>
        <w:t>Soviet</w:t>
      </w:r>
      <w:proofErr w:type="gramEnd"/>
      <w:r>
        <w:rPr>
          <w:b/>
          <w:sz w:val="28"/>
          <w:szCs w:val="28"/>
          <w:u w:val="single"/>
        </w:rPr>
        <w:t xml:space="preserve"> Relations with </w:t>
      </w:r>
      <w:smartTag w:uri="urn:schemas-microsoft-com:office:smarttags" w:element="place">
        <w:r>
          <w:rPr>
            <w:b/>
            <w:sz w:val="28"/>
            <w:szCs w:val="28"/>
            <w:u w:val="single"/>
          </w:rPr>
          <w:t>Latin America</w:t>
        </w:r>
      </w:smartTag>
      <w:r>
        <w:rPr>
          <w:b/>
          <w:sz w:val="28"/>
          <w:szCs w:val="28"/>
        </w:rPr>
        <w:t xml:space="preserve"> (Cambridge: Cambridge University Press, 1989), Chapters 1-3</w:t>
      </w:r>
    </w:p>
    <w:p w:rsidR="002C3F48" w:rsidRDefault="002C3F48" w:rsidP="00827A80">
      <w:pPr>
        <w:jc w:val="both"/>
        <w:rPr>
          <w:b/>
          <w:sz w:val="28"/>
          <w:szCs w:val="28"/>
        </w:rPr>
      </w:pPr>
    </w:p>
    <w:p w:rsidR="00135419" w:rsidRDefault="00FF6152" w:rsidP="00827A80">
      <w:pPr>
        <w:jc w:val="both"/>
        <w:rPr>
          <w:b/>
          <w:sz w:val="28"/>
          <w:szCs w:val="28"/>
        </w:rPr>
      </w:pPr>
      <w:r>
        <w:rPr>
          <w:b/>
          <w:sz w:val="28"/>
          <w:szCs w:val="28"/>
        </w:rPr>
        <w:t xml:space="preserve">R. Andrew </w:t>
      </w:r>
      <w:proofErr w:type="spellStart"/>
      <w:r>
        <w:rPr>
          <w:b/>
          <w:sz w:val="28"/>
          <w:szCs w:val="28"/>
        </w:rPr>
        <w:t>Nickson</w:t>
      </w:r>
      <w:proofErr w:type="spellEnd"/>
      <w:r>
        <w:rPr>
          <w:b/>
          <w:sz w:val="28"/>
          <w:szCs w:val="28"/>
        </w:rPr>
        <w:t xml:space="preserve">, </w:t>
      </w:r>
      <w:r>
        <w:rPr>
          <w:b/>
          <w:sz w:val="28"/>
          <w:szCs w:val="28"/>
          <w:u w:val="single"/>
        </w:rPr>
        <w:t>Local Government in Latin America</w:t>
      </w:r>
      <w:r>
        <w:rPr>
          <w:b/>
          <w:sz w:val="28"/>
          <w:szCs w:val="28"/>
        </w:rPr>
        <w:t xml:space="preserve"> (</w:t>
      </w:r>
      <w:smartTag w:uri="urn:schemas-microsoft-com:office:smarttags" w:element="City">
        <w:smartTag w:uri="urn:schemas-microsoft-com:office:smarttags" w:element="place">
          <w:r>
            <w:rPr>
              <w:b/>
              <w:sz w:val="28"/>
              <w:szCs w:val="28"/>
            </w:rPr>
            <w:t>Boulder</w:t>
          </w:r>
        </w:smartTag>
      </w:smartTag>
      <w:r>
        <w:rPr>
          <w:b/>
          <w:sz w:val="28"/>
          <w:szCs w:val="28"/>
        </w:rPr>
        <w:t xml:space="preserve">: </w:t>
      </w:r>
      <w:proofErr w:type="spellStart"/>
      <w:r>
        <w:rPr>
          <w:b/>
          <w:sz w:val="28"/>
          <w:szCs w:val="28"/>
        </w:rPr>
        <w:t>Rienner</w:t>
      </w:r>
      <w:proofErr w:type="spellEnd"/>
      <w:r>
        <w:rPr>
          <w:b/>
          <w:sz w:val="28"/>
          <w:szCs w:val="28"/>
        </w:rPr>
        <w:t>, 1995</w:t>
      </w:r>
      <w:proofErr w:type="gramStart"/>
      <w:r>
        <w:rPr>
          <w:b/>
          <w:sz w:val="28"/>
          <w:szCs w:val="28"/>
        </w:rPr>
        <w:t>,</w:t>
      </w:r>
      <w:r w:rsidR="00135419">
        <w:rPr>
          <w:b/>
          <w:sz w:val="28"/>
          <w:szCs w:val="28"/>
        </w:rPr>
        <w:t>,</w:t>
      </w:r>
      <w:proofErr w:type="gramEnd"/>
      <w:r w:rsidR="00135419">
        <w:rPr>
          <w:b/>
          <w:sz w:val="28"/>
          <w:szCs w:val="28"/>
        </w:rPr>
        <w:t xml:space="preserve"> Chapters 1-3 (Plus selected case studies as per individual interests)</w:t>
      </w:r>
      <w:r>
        <w:rPr>
          <w:b/>
          <w:sz w:val="28"/>
          <w:szCs w:val="28"/>
        </w:rPr>
        <w:t>.</w:t>
      </w:r>
    </w:p>
    <w:p w:rsidR="00F75554" w:rsidRPr="006026EE" w:rsidRDefault="00F75554" w:rsidP="00827A80">
      <w:pPr>
        <w:jc w:val="both"/>
        <w:rPr>
          <w:b/>
          <w:sz w:val="28"/>
          <w:szCs w:val="28"/>
        </w:rPr>
      </w:pPr>
    </w:p>
    <w:p w:rsidR="006026EE" w:rsidRPr="006026EE" w:rsidRDefault="005B0E28" w:rsidP="006026EE">
      <w:pPr>
        <w:jc w:val="both"/>
        <w:rPr>
          <w:b/>
          <w:sz w:val="28"/>
          <w:szCs w:val="28"/>
        </w:rPr>
      </w:pPr>
      <w:r w:rsidRPr="006026EE">
        <w:rPr>
          <w:b/>
          <w:sz w:val="28"/>
          <w:szCs w:val="28"/>
        </w:rPr>
        <w:t xml:space="preserve">Marina </w:t>
      </w:r>
      <w:proofErr w:type="spellStart"/>
      <w:r w:rsidRPr="006026EE">
        <w:rPr>
          <w:b/>
          <w:sz w:val="28"/>
          <w:szCs w:val="28"/>
        </w:rPr>
        <w:t>Ottaway</w:t>
      </w:r>
      <w:proofErr w:type="spellEnd"/>
      <w:r w:rsidRPr="006026EE">
        <w:rPr>
          <w:b/>
          <w:sz w:val="28"/>
          <w:szCs w:val="28"/>
        </w:rPr>
        <w:t xml:space="preserve"> and Thomas Carothers, </w:t>
      </w:r>
      <w:r w:rsidRPr="006026EE">
        <w:rPr>
          <w:b/>
          <w:sz w:val="28"/>
          <w:szCs w:val="28"/>
          <w:u w:val="single"/>
        </w:rPr>
        <w:t>Funding Virtue: Civil Society Aid and Democracy Promotion</w:t>
      </w:r>
      <w:r w:rsidRPr="006026EE">
        <w:rPr>
          <w:b/>
          <w:sz w:val="28"/>
          <w:szCs w:val="28"/>
        </w:rPr>
        <w:t xml:space="preserve"> (</w:t>
      </w:r>
      <w:smartTag w:uri="urn:schemas-microsoft-com:office:smarttags" w:element="place">
        <w:smartTag w:uri="urn:schemas-microsoft-com:office:smarttags" w:element="City">
          <w:r w:rsidRPr="006026EE">
            <w:rPr>
              <w:b/>
              <w:sz w:val="28"/>
              <w:szCs w:val="28"/>
            </w:rPr>
            <w:t>Washington</w:t>
          </w:r>
        </w:smartTag>
        <w:r w:rsidRPr="006026EE">
          <w:rPr>
            <w:b/>
            <w:sz w:val="28"/>
            <w:szCs w:val="28"/>
          </w:rPr>
          <w:t xml:space="preserve">, </w:t>
        </w:r>
        <w:smartTag w:uri="urn:schemas-microsoft-com:office:smarttags" w:element="State">
          <w:r w:rsidRPr="006026EE">
            <w:rPr>
              <w:b/>
              <w:sz w:val="28"/>
              <w:szCs w:val="28"/>
            </w:rPr>
            <w:t>D.C.</w:t>
          </w:r>
        </w:smartTag>
      </w:smartTag>
      <w:r w:rsidRPr="006026EE">
        <w:rPr>
          <w:b/>
          <w:sz w:val="28"/>
          <w:szCs w:val="28"/>
        </w:rPr>
        <w:t xml:space="preserve">: Carnegie Endowment for International Peace, 2000), </w:t>
      </w:r>
      <w:r w:rsidR="003E6656" w:rsidRPr="006026EE">
        <w:rPr>
          <w:b/>
          <w:sz w:val="28"/>
          <w:szCs w:val="28"/>
        </w:rPr>
        <w:t>Chapters 9 and 10</w:t>
      </w:r>
      <w:r w:rsidRPr="006026EE">
        <w:rPr>
          <w:b/>
          <w:sz w:val="28"/>
          <w:szCs w:val="28"/>
        </w:rPr>
        <w:t>.</w:t>
      </w:r>
    </w:p>
    <w:p w:rsidR="006026EE" w:rsidRPr="006026EE" w:rsidRDefault="006026EE" w:rsidP="006026EE">
      <w:pPr>
        <w:jc w:val="both"/>
        <w:rPr>
          <w:b/>
          <w:sz w:val="28"/>
          <w:szCs w:val="28"/>
        </w:rPr>
      </w:pPr>
    </w:p>
    <w:p w:rsidR="006026EE" w:rsidRPr="006026EE" w:rsidRDefault="006026EE" w:rsidP="006026EE">
      <w:pPr>
        <w:jc w:val="both"/>
        <w:rPr>
          <w:b/>
          <w:sz w:val="28"/>
          <w:szCs w:val="28"/>
        </w:rPr>
      </w:pPr>
      <w:r w:rsidRPr="006026EE">
        <w:rPr>
          <w:b/>
          <w:sz w:val="28"/>
          <w:szCs w:val="28"/>
        </w:rPr>
        <w:t>Peter</w:t>
      </w:r>
      <w:r w:rsidR="00AC7971">
        <w:rPr>
          <w:b/>
          <w:sz w:val="28"/>
          <w:szCs w:val="28"/>
        </w:rPr>
        <w:t xml:space="preserve"> H.</w:t>
      </w:r>
      <w:r w:rsidRPr="006026EE">
        <w:rPr>
          <w:b/>
          <w:sz w:val="28"/>
          <w:szCs w:val="28"/>
        </w:rPr>
        <w:t xml:space="preserve"> Smith, </w:t>
      </w:r>
      <w:r w:rsidRPr="006026EE">
        <w:rPr>
          <w:b/>
          <w:sz w:val="28"/>
          <w:szCs w:val="28"/>
          <w:u w:val="single"/>
        </w:rPr>
        <w:t>Democracy in Latin America: Political Change in Comparative Perspective</w:t>
      </w:r>
      <w:r w:rsidRPr="006026EE">
        <w:rPr>
          <w:b/>
          <w:sz w:val="28"/>
          <w:szCs w:val="28"/>
        </w:rPr>
        <w:t xml:space="preserve"> (</w:t>
      </w:r>
      <w:smartTag w:uri="urn:schemas-microsoft-com:office:smarttags" w:element="State">
        <w:r w:rsidRPr="006026EE">
          <w:rPr>
            <w:b/>
            <w:sz w:val="28"/>
            <w:szCs w:val="28"/>
          </w:rPr>
          <w:t>New York</w:t>
        </w:r>
      </w:smartTag>
      <w:r w:rsidRPr="006026EE">
        <w:rPr>
          <w:b/>
          <w:sz w:val="28"/>
          <w:szCs w:val="28"/>
        </w:rPr>
        <w:t xml:space="preserve">: </w:t>
      </w:r>
      <w:smartTag w:uri="urn:schemas-microsoft-com:office:smarttags" w:element="place">
        <w:smartTag w:uri="urn:schemas-microsoft-com:office:smarttags" w:element="PlaceName">
          <w:r w:rsidRPr="006026EE">
            <w:rPr>
              <w:b/>
              <w:sz w:val="28"/>
              <w:szCs w:val="28"/>
            </w:rPr>
            <w:t>Oxford</w:t>
          </w:r>
        </w:smartTag>
        <w:r w:rsidRPr="006026EE">
          <w:rPr>
            <w:b/>
            <w:sz w:val="28"/>
            <w:szCs w:val="28"/>
          </w:rPr>
          <w:t xml:space="preserve"> </w:t>
        </w:r>
        <w:smartTag w:uri="urn:schemas-microsoft-com:office:smarttags" w:element="PlaceType">
          <w:r w:rsidRPr="006026EE">
            <w:rPr>
              <w:b/>
              <w:sz w:val="28"/>
              <w:szCs w:val="28"/>
            </w:rPr>
            <w:t>University</w:t>
          </w:r>
        </w:smartTag>
      </w:smartTag>
      <w:r w:rsidRPr="006026EE">
        <w:rPr>
          <w:b/>
          <w:sz w:val="28"/>
          <w:szCs w:val="28"/>
        </w:rPr>
        <w:t xml:space="preserve"> Press, 2005).</w:t>
      </w:r>
      <w:r>
        <w:rPr>
          <w:b/>
          <w:sz w:val="28"/>
          <w:szCs w:val="28"/>
        </w:rPr>
        <w:t xml:space="preserve"> </w:t>
      </w:r>
      <w:proofErr w:type="gramStart"/>
      <w:r>
        <w:rPr>
          <w:b/>
          <w:sz w:val="28"/>
          <w:szCs w:val="28"/>
        </w:rPr>
        <w:t>Selected Chapters as per interest.</w:t>
      </w:r>
      <w:proofErr w:type="gramEnd"/>
    </w:p>
    <w:p w:rsidR="006026EE" w:rsidRDefault="006026EE" w:rsidP="00827A80">
      <w:pPr>
        <w:jc w:val="both"/>
        <w:rPr>
          <w:b/>
          <w:sz w:val="28"/>
          <w:szCs w:val="28"/>
        </w:rPr>
      </w:pPr>
    </w:p>
    <w:p w:rsidR="00827A80" w:rsidRPr="00827A80" w:rsidRDefault="00827A80" w:rsidP="00827A80">
      <w:pPr>
        <w:jc w:val="both"/>
        <w:rPr>
          <w:b/>
          <w:sz w:val="28"/>
          <w:szCs w:val="28"/>
        </w:rPr>
      </w:pPr>
      <w:r w:rsidRPr="00827A80">
        <w:rPr>
          <w:b/>
          <w:sz w:val="28"/>
          <w:szCs w:val="28"/>
        </w:rPr>
        <w:t xml:space="preserve">Harry E. </w:t>
      </w:r>
      <w:proofErr w:type="spellStart"/>
      <w:r w:rsidRPr="00827A80">
        <w:rPr>
          <w:b/>
          <w:sz w:val="28"/>
          <w:szCs w:val="28"/>
        </w:rPr>
        <w:t>Vanden</w:t>
      </w:r>
      <w:proofErr w:type="spellEnd"/>
      <w:r w:rsidRPr="00827A80">
        <w:rPr>
          <w:b/>
          <w:sz w:val="28"/>
          <w:szCs w:val="28"/>
        </w:rPr>
        <w:t xml:space="preserve"> and Gary Prevost</w:t>
      </w:r>
      <w:proofErr w:type="gramStart"/>
      <w:r w:rsidRPr="00827A80">
        <w:rPr>
          <w:b/>
          <w:sz w:val="28"/>
          <w:szCs w:val="28"/>
        </w:rPr>
        <w:t xml:space="preserve">, </w:t>
      </w:r>
      <w:r w:rsidRPr="00827A80">
        <w:rPr>
          <w:b/>
          <w:sz w:val="28"/>
          <w:szCs w:val="28"/>
          <w:u w:val="single"/>
        </w:rPr>
        <w:t xml:space="preserve"> Politics</w:t>
      </w:r>
      <w:proofErr w:type="gramEnd"/>
      <w:r w:rsidRPr="00827A80">
        <w:rPr>
          <w:b/>
          <w:sz w:val="28"/>
          <w:szCs w:val="28"/>
          <w:u w:val="single"/>
        </w:rPr>
        <w:t xml:space="preserve"> of Latin America: The Power Game</w:t>
      </w:r>
      <w:r w:rsidRPr="00827A80">
        <w:rPr>
          <w:b/>
          <w:sz w:val="28"/>
          <w:szCs w:val="28"/>
        </w:rPr>
        <w:t xml:space="preserve">  (</w:t>
      </w:r>
      <w:smartTag w:uri="urn:schemas-microsoft-com:office:smarttags" w:element="State">
        <w:r w:rsidRPr="00827A80">
          <w:rPr>
            <w:b/>
            <w:sz w:val="28"/>
            <w:szCs w:val="28"/>
          </w:rPr>
          <w:t>New York</w:t>
        </w:r>
      </w:smartTag>
      <w:r w:rsidRPr="00827A80">
        <w:rPr>
          <w:b/>
          <w:sz w:val="28"/>
          <w:szCs w:val="28"/>
        </w:rPr>
        <w:t xml:space="preserve">: </w:t>
      </w:r>
      <w:smartTag w:uri="urn:schemas-microsoft-com:office:smarttags" w:element="place">
        <w:smartTag w:uri="urn:schemas-microsoft-com:office:smarttags" w:element="PlaceName">
          <w:r w:rsidRPr="00827A80">
            <w:rPr>
              <w:b/>
              <w:sz w:val="28"/>
              <w:szCs w:val="28"/>
            </w:rPr>
            <w:t>Oxford</w:t>
          </w:r>
        </w:smartTag>
        <w:r w:rsidRPr="00827A80">
          <w:rPr>
            <w:b/>
            <w:sz w:val="28"/>
            <w:szCs w:val="28"/>
          </w:rPr>
          <w:t xml:space="preserve"> </w:t>
        </w:r>
        <w:smartTag w:uri="urn:schemas-microsoft-com:office:smarttags" w:element="PlaceType">
          <w:r w:rsidRPr="00827A80">
            <w:rPr>
              <w:b/>
              <w:sz w:val="28"/>
              <w:szCs w:val="28"/>
            </w:rPr>
            <w:t>University</w:t>
          </w:r>
        </w:smartTag>
      </w:smartTag>
      <w:r w:rsidRPr="00827A80">
        <w:rPr>
          <w:b/>
          <w:sz w:val="28"/>
          <w:szCs w:val="28"/>
        </w:rPr>
        <w:t xml:space="preserve"> Press, 2001). </w:t>
      </w:r>
      <w:proofErr w:type="gramStart"/>
      <w:r w:rsidRPr="00827A80">
        <w:rPr>
          <w:b/>
          <w:sz w:val="28"/>
          <w:szCs w:val="28"/>
        </w:rPr>
        <w:t>Selected country chapters as per interest).</w:t>
      </w:r>
      <w:proofErr w:type="gramEnd"/>
    </w:p>
    <w:p w:rsidR="00827A80" w:rsidRDefault="00827A80" w:rsidP="00827A80">
      <w:pPr>
        <w:jc w:val="both"/>
        <w:rPr>
          <w:b/>
          <w:sz w:val="28"/>
          <w:szCs w:val="28"/>
        </w:rPr>
      </w:pPr>
    </w:p>
    <w:p w:rsidR="00F75554" w:rsidRDefault="00F75554" w:rsidP="00827A80">
      <w:pPr>
        <w:jc w:val="both"/>
        <w:rPr>
          <w:b/>
          <w:sz w:val="28"/>
          <w:szCs w:val="28"/>
        </w:rPr>
      </w:pPr>
      <w:r>
        <w:rPr>
          <w:b/>
          <w:sz w:val="28"/>
          <w:szCs w:val="28"/>
        </w:rPr>
        <w:t xml:space="preserve">Joseph N. </w:t>
      </w:r>
      <w:proofErr w:type="spellStart"/>
      <w:r>
        <w:rPr>
          <w:b/>
          <w:sz w:val="28"/>
          <w:szCs w:val="28"/>
        </w:rPr>
        <w:t>Weatherby</w:t>
      </w:r>
      <w:proofErr w:type="spellEnd"/>
      <w:r>
        <w:rPr>
          <w:b/>
          <w:sz w:val="28"/>
          <w:szCs w:val="28"/>
        </w:rPr>
        <w:t xml:space="preserve">, </w:t>
      </w:r>
      <w:proofErr w:type="gramStart"/>
      <w:r>
        <w:rPr>
          <w:b/>
          <w:sz w:val="28"/>
          <w:szCs w:val="28"/>
        </w:rPr>
        <w:t>et</w:t>
      </w:r>
      <w:proofErr w:type="gramEnd"/>
      <w:r>
        <w:rPr>
          <w:b/>
          <w:sz w:val="28"/>
          <w:szCs w:val="28"/>
        </w:rPr>
        <w:t xml:space="preserve">. al., </w:t>
      </w:r>
      <w:proofErr w:type="gramStart"/>
      <w:r>
        <w:rPr>
          <w:b/>
          <w:sz w:val="28"/>
          <w:szCs w:val="28"/>
          <w:u w:val="single"/>
        </w:rPr>
        <w:t>The</w:t>
      </w:r>
      <w:proofErr w:type="gramEnd"/>
      <w:r>
        <w:rPr>
          <w:b/>
          <w:sz w:val="28"/>
          <w:szCs w:val="28"/>
          <w:u w:val="single"/>
        </w:rPr>
        <w:t xml:space="preserve"> Other World: Issues and Politics of the Developing World</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Longman, 2000), Chapter 5</w:t>
      </w:r>
    </w:p>
    <w:p w:rsidR="00F75554" w:rsidRDefault="00F75554" w:rsidP="00827A80">
      <w:pPr>
        <w:jc w:val="both"/>
        <w:rPr>
          <w:b/>
          <w:sz w:val="28"/>
          <w:szCs w:val="28"/>
        </w:rPr>
      </w:pPr>
    </w:p>
    <w:p w:rsidR="005B0E28" w:rsidRDefault="005B0E28" w:rsidP="00827A80">
      <w:pPr>
        <w:jc w:val="both"/>
        <w:rPr>
          <w:b/>
          <w:sz w:val="28"/>
          <w:szCs w:val="28"/>
        </w:rPr>
      </w:pPr>
    </w:p>
    <w:p w:rsidR="005B0E28" w:rsidRDefault="005B0E28" w:rsidP="00827A80">
      <w:pPr>
        <w:jc w:val="both"/>
        <w:rPr>
          <w:b/>
          <w:sz w:val="28"/>
          <w:szCs w:val="28"/>
        </w:rPr>
      </w:pPr>
    </w:p>
    <w:p w:rsidR="00941DDB" w:rsidRDefault="00941DDB" w:rsidP="00827A80">
      <w:pPr>
        <w:jc w:val="both"/>
        <w:rPr>
          <w:b/>
          <w:sz w:val="28"/>
          <w:szCs w:val="28"/>
        </w:rPr>
      </w:pPr>
    </w:p>
    <w:sectPr w:rsidR="00941DDB" w:rsidSect="00135419">
      <w:pgSz w:w="12240" w:h="15840"/>
      <w:pgMar w:top="1440" w:right="180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F6" w:rsidRDefault="00F567F6" w:rsidP="00BA5CD3">
      <w:r>
        <w:separator/>
      </w:r>
    </w:p>
  </w:endnote>
  <w:endnote w:type="continuationSeparator" w:id="0">
    <w:p w:rsidR="00F567F6" w:rsidRDefault="00F567F6" w:rsidP="00BA5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F6" w:rsidRDefault="00F567F6" w:rsidP="00BA5CD3">
      <w:r>
        <w:separator/>
      </w:r>
    </w:p>
  </w:footnote>
  <w:footnote w:type="continuationSeparator" w:id="0">
    <w:p w:rsidR="00F567F6" w:rsidRDefault="00F567F6" w:rsidP="00BA5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AE2"/>
    <w:multiLevelType w:val="multilevel"/>
    <w:tmpl w:val="C3AC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135419"/>
    <w:rsid w:val="000E359A"/>
    <w:rsid w:val="00135419"/>
    <w:rsid w:val="00192947"/>
    <w:rsid w:val="002501F1"/>
    <w:rsid w:val="00273C46"/>
    <w:rsid w:val="002C3F48"/>
    <w:rsid w:val="003E6656"/>
    <w:rsid w:val="005B0E28"/>
    <w:rsid w:val="006026EE"/>
    <w:rsid w:val="007D73A6"/>
    <w:rsid w:val="00827A80"/>
    <w:rsid w:val="0084560E"/>
    <w:rsid w:val="008732BC"/>
    <w:rsid w:val="00922D9D"/>
    <w:rsid w:val="00941DDB"/>
    <w:rsid w:val="00AB1012"/>
    <w:rsid w:val="00AC7971"/>
    <w:rsid w:val="00B50433"/>
    <w:rsid w:val="00B72FDD"/>
    <w:rsid w:val="00BA5CD3"/>
    <w:rsid w:val="00F567F6"/>
    <w:rsid w:val="00F75554"/>
    <w:rsid w:val="00FF61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419"/>
    <w:rPr>
      <w:sz w:val="24"/>
      <w:szCs w:val="24"/>
      <w:lang w:eastAsia="en-US"/>
    </w:rPr>
  </w:style>
  <w:style w:type="paragraph" w:styleId="Heading1">
    <w:name w:val="heading 1"/>
    <w:basedOn w:val="Normal"/>
    <w:next w:val="Normal"/>
    <w:qFormat/>
    <w:rsid w:val="00827A80"/>
    <w:pPr>
      <w:keepNext/>
      <w:spacing w:before="240" w:after="60"/>
      <w:outlineLvl w:val="0"/>
    </w:pPr>
    <w:rPr>
      <w:rFonts w:ascii="Arial" w:hAnsi="Arial" w:cs="Arial"/>
      <w:b/>
      <w:bCs/>
      <w:kern w:val="32"/>
      <w:sz w:val="32"/>
      <w:szCs w:val="32"/>
    </w:rPr>
  </w:style>
  <w:style w:type="paragraph" w:styleId="Heading2">
    <w:name w:val="heading 2"/>
    <w:basedOn w:val="Normal"/>
    <w:qFormat/>
    <w:rsid w:val="00F7555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B0E28"/>
    <w:rPr>
      <w:color w:val="0000FF"/>
      <w:u w:val="single"/>
    </w:rPr>
  </w:style>
  <w:style w:type="character" w:customStyle="1" w:styleId="ln2">
    <w:name w:val="ln2"/>
    <w:basedOn w:val="DefaultParagraphFont"/>
    <w:rsid w:val="00F75554"/>
  </w:style>
  <w:style w:type="paragraph" w:styleId="Header">
    <w:name w:val="header"/>
    <w:basedOn w:val="Normal"/>
    <w:link w:val="HeaderChar"/>
    <w:rsid w:val="00BA5CD3"/>
    <w:pPr>
      <w:tabs>
        <w:tab w:val="center" w:pos="4680"/>
        <w:tab w:val="right" w:pos="9360"/>
      </w:tabs>
    </w:pPr>
  </w:style>
  <w:style w:type="character" w:customStyle="1" w:styleId="HeaderChar">
    <w:name w:val="Header Char"/>
    <w:basedOn w:val="DefaultParagraphFont"/>
    <w:link w:val="Header"/>
    <w:rsid w:val="00BA5CD3"/>
    <w:rPr>
      <w:sz w:val="24"/>
      <w:szCs w:val="24"/>
      <w:lang w:eastAsia="en-US"/>
    </w:rPr>
  </w:style>
  <w:style w:type="paragraph" w:styleId="Footer">
    <w:name w:val="footer"/>
    <w:basedOn w:val="Normal"/>
    <w:link w:val="FooterChar"/>
    <w:rsid w:val="00BA5CD3"/>
    <w:pPr>
      <w:tabs>
        <w:tab w:val="center" w:pos="4680"/>
        <w:tab w:val="right" w:pos="9360"/>
      </w:tabs>
    </w:pPr>
  </w:style>
  <w:style w:type="character" w:customStyle="1" w:styleId="FooterChar">
    <w:name w:val="Footer Char"/>
    <w:basedOn w:val="DefaultParagraphFont"/>
    <w:link w:val="Footer"/>
    <w:rsid w:val="00BA5CD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81193621">
      <w:bodyDiv w:val="1"/>
      <w:marLeft w:val="0"/>
      <w:marRight w:val="0"/>
      <w:marTop w:val="0"/>
      <w:marBottom w:val="0"/>
      <w:divBdr>
        <w:top w:val="none" w:sz="0" w:space="0" w:color="auto"/>
        <w:left w:val="none" w:sz="0" w:space="0" w:color="auto"/>
        <w:bottom w:val="none" w:sz="0" w:space="0" w:color="auto"/>
        <w:right w:val="none" w:sz="0" w:space="0" w:color="auto"/>
      </w:divBdr>
    </w:div>
    <w:div w:id="1254782476">
      <w:bodyDiv w:val="1"/>
      <w:marLeft w:val="0"/>
      <w:marRight w:val="0"/>
      <w:marTop w:val="0"/>
      <w:marBottom w:val="0"/>
      <w:divBdr>
        <w:top w:val="none" w:sz="0" w:space="0" w:color="auto"/>
        <w:left w:val="none" w:sz="0" w:space="0" w:color="auto"/>
        <w:bottom w:val="none" w:sz="0" w:space="0" w:color="auto"/>
        <w:right w:val="none" w:sz="0" w:space="0" w:color="auto"/>
      </w:divBdr>
    </w:div>
    <w:div w:id="1790851199">
      <w:bodyDiv w:val="1"/>
      <w:marLeft w:val="0"/>
      <w:marRight w:val="0"/>
      <w:marTop w:val="0"/>
      <w:marBottom w:val="0"/>
      <w:divBdr>
        <w:top w:val="none" w:sz="0" w:space="0" w:color="auto"/>
        <w:left w:val="none" w:sz="0" w:space="0" w:color="auto"/>
        <w:bottom w:val="none" w:sz="0" w:space="0" w:color="auto"/>
        <w:right w:val="none" w:sz="0" w:space="0" w:color="auto"/>
      </w:divBdr>
    </w:div>
    <w:div w:id="2145539354">
      <w:bodyDiv w:val="1"/>
      <w:marLeft w:val="0"/>
      <w:marRight w:val="0"/>
      <w:marTop w:val="0"/>
      <w:marBottom w:val="0"/>
      <w:divBdr>
        <w:top w:val="none" w:sz="0" w:space="0" w:color="auto"/>
        <w:left w:val="none" w:sz="0" w:space="0" w:color="auto"/>
        <w:bottom w:val="none" w:sz="0" w:space="0" w:color="auto"/>
        <w:right w:val="none" w:sz="0" w:space="0" w:color="auto"/>
      </w:divBdr>
      <w:divsChild>
        <w:div w:id="952440703">
          <w:marLeft w:val="0"/>
          <w:marRight w:val="0"/>
          <w:marTop w:val="0"/>
          <w:marBottom w:val="0"/>
          <w:divBdr>
            <w:top w:val="none" w:sz="0" w:space="0" w:color="auto"/>
            <w:left w:val="none" w:sz="0" w:space="0" w:color="auto"/>
            <w:bottom w:val="none" w:sz="0" w:space="0" w:color="auto"/>
            <w:right w:val="none" w:sz="0" w:space="0" w:color="auto"/>
          </w:divBdr>
        </w:div>
        <w:div w:id="2091199151">
          <w:marLeft w:val="0"/>
          <w:marRight w:val="0"/>
          <w:marTop w:val="0"/>
          <w:marBottom w:val="0"/>
          <w:divBdr>
            <w:top w:val="none" w:sz="0" w:space="0" w:color="auto"/>
            <w:left w:val="none" w:sz="0" w:space="0" w:color="auto"/>
            <w:bottom w:val="none" w:sz="0" w:space="0" w:color="auto"/>
            <w:right w:val="none" w:sz="0" w:space="0" w:color="auto"/>
          </w:divBdr>
          <w:divsChild>
            <w:div w:id="869605608">
              <w:marLeft w:val="0"/>
              <w:marRight w:val="0"/>
              <w:marTop w:val="0"/>
              <w:marBottom w:val="0"/>
              <w:divBdr>
                <w:top w:val="none" w:sz="0" w:space="0" w:color="auto"/>
                <w:left w:val="none" w:sz="0" w:space="0" w:color="auto"/>
                <w:bottom w:val="none" w:sz="0" w:space="0" w:color="auto"/>
                <w:right w:val="none" w:sz="0" w:space="0" w:color="auto"/>
              </w:divBdr>
            </w:div>
            <w:div w:id="1294560181">
              <w:marLeft w:val="0"/>
              <w:marRight w:val="0"/>
              <w:marTop w:val="0"/>
              <w:marBottom w:val="0"/>
              <w:divBdr>
                <w:top w:val="none" w:sz="0" w:space="0" w:color="auto"/>
                <w:left w:val="none" w:sz="0" w:space="0" w:color="auto"/>
                <w:bottom w:val="none" w:sz="0" w:space="0" w:color="auto"/>
                <w:right w:val="none" w:sz="0" w:space="0" w:color="auto"/>
              </w:divBdr>
              <w:divsChild>
                <w:div w:id="276302887">
                  <w:marLeft w:val="0"/>
                  <w:marRight w:val="0"/>
                  <w:marTop w:val="0"/>
                  <w:marBottom w:val="0"/>
                  <w:divBdr>
                    <w:top w:val="none" w:sz="0" w:space="0" w:color="auto"/>
                    <w:left w:val="none" w:sz="0" w:space="0" w:color="auto"/>
                    <w:bottom w:val="none" w:sz="0" w:space="0" w:color="auto"/>
                    <w:right w:val="none" w:sz="0" w:space="0" w:color="auto"/>
                  </w:divBdr>
                  <w:divsChild>
                    <w:div w:id="18689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arrar,_Straus_and_Giroux" TargetMode="External"/><Relationship Id="rId3" Type="http://schemas.openxmlformats.org/officeDocument/2006/relationships/settings" Target="settings.xml"/><Relationship Id="rId7" Type="http://schemas.openxmlformats.org/officeDocument/2006/relationships/hyperlink" Target="http://en.wikipedia.org/wiki/Publis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PIA 2501</vt:lpstr>
    </vt:vector>
  </TitlesOfParts>
  <Company>University of Pittsburgh</Company>
  <LinksUpToDate>false</LinksUpToDate>
  <CharactersWithSpaces>4812</CharactersWithSpaces>
  <SharedDoc>false</SharedDoc>
  <HLinks>
    <vt:vector size="12" baseType="variant">
      <vt:variant>
        <vt:i4>2228232</vt:i4>
      </vt:variant>
      <vt:variant>
        <vt:i4>3</vt:i4>
      </vt:variant>
      <vt:variant>
        <vt:i4>0</vt:i4>
      </vt:variant>
      <vt:variant>
        <vt:i4>5</vt:i4>
      </vt:variant>
      <vt:variant>
        <vt:lpwstr>http://en.wikipedia.org/wiki/Farrar,_Straus_and_Giroux</vt:lpwstr>
      </vt:variant>
      <vt:variant>
        <vt:lpwstr/>
      </vt:variant>
      <vt:variant>
        <vt:i4>8257594</vt:i4>
      </vt:variant>
      <vt:variant>
        <vt:i4>0</vt:i4>
      </vt:variant>
      <vt:variant>
        <vt:i4>0</vt:i4>
      </vt:variant>
      <vt:variant>
        <vt:i4>5</vt:i4>
      </vt:variant>
      <vt:variant>
        <vt:lpwstr>http://en.wikipedia.org/wiki/Publisher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2501</dc:title>
  <dc:creator>Picard</dc:creator>
  <cp:lastModifiedBy>Katherine</cp:lastModifiedBy>
  <cp:revision>2</cp:revision>
  <dcterms:created xsi:type="dcterms:W3CDTF">2013-08-29T18:25:00Z</dcterms:created>
  <dcterms:modified xsi:type="dcterms:W3CDTF">2013-08-29T18:25:00Z</dcterms:modified>
</cp:coreProperties>
</file>